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bookmarkStart w:id="0" w:name="_GoBack"/>
      <w:bookmarkEnd w:id="0"/>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工业气体上采购询比价说明</w:t>
      </w:r>
    </w:p>
    <w:p>
      <w:pPr>
        <w:adjustRightInd w:val="0"/>
        <w:snapToGrid w:val="0"/>
        <w:jc w:val="center"/>
        <w:rPr>
          <w:rFonts w:ascii="方正小标宋简体" w:hAnsi="华文中宋" w:eastAsia="方正小标宋简体"/>
          <w:sz w:val="36"/>
          <w:szCs w:val="36"/>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为满足生产需求，我公司通过中国船舶采购管理电子商务平台对工业气体进行询比价采购，现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0"/>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0"/>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拟采购数量：见报价单。</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2022年4月26日至2023年4月25日</w:t>
          </w:r>
        </w:sdtContent>
      </w:sdt>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风帆有限责任公司及各分公司</w:t>
          </w:r>
        </w:sdtContent>
      </w:sdt>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拟选定供应商数量：2个</w:t>
      </w:r>
    </w:p>
    <w:p>
      <w:pPr>
        <w:pStyle w:val="10"/>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供应商所交付各种工业气体的质量必须达到相应国家标准规定的质量技术指标。性能指标：</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风帆公司有权要求供应商对不符合质量要求的产品进行无条件更换；</w:t>
      </w:r>
    </w:p>
    <w:p>
      <w:pPr>
        <w:pStyle w:val="10"/>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安全要求</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供应商所提供气瓶的质量必须达到相应国家标准规定的质量技术指标；</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供应商所提供气瓶必须具有当地技术监督部门出具的有效期内的检验证书；</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供应商所提供气瓶必须具有相关有资质部门出具的有效期内的压力容器检验证明；</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供应商须具备道路危险货物运输资质，或与具备道路危险货物运输资质的第三方签订了运输协议，协议期限须长于本次价格执行期限；</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供应商在装卸运输过程中须严格执行相关安全操作规程，并负有相应安全责任。</w:t>
      </w:r>
    </w:p>
    <w:p>
      <w:pPr>
        <w:pStyle w:val="10"/>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供货方须按照我公司要求的时间及运输方式将货物送达指定区域的指定地点，风帆公司保留对交付及时性的索赔乃至终止合同、列入黑名单的权利；</w:t>
      </w:r>
    </w:p>
    <w:p>
      <w:pPr>
        <w:pStyle w:val="10"/>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送货地点：1、交付时间： 第一选定供供方2022年4月26日至2022年10月25日供应清苑分公司、风帆有色金属分公司及风帆有限责任公司本部；第二选定供方2022年4月26日至2022年10月25日供应高新电源分公司、工业电池分公司及风帆有限责任公司本部。2022年10月26日开始互换供应单位，具体时间以使用单位通知为准（电话通知、订单通知均可），以具体订单为准。</w:t>
      </w:r>
      <w:r>
        <w:rPr>
          <w:rFonts w:hint="eastAsia" w:ascii="仿宋_GB2312" w:eastAsia="仿宋_GB2312" w:hAnsiTheme="minorEastAsia"/>
          <w:sz w:val="28"/>
          <w:szCs w:val="28"/>
          <w:lang w:val="en-US" w:eastAsia="zh-CN"/>
        </w:rPr>
        <w:t>2</w:t>
      </w:r>
      <w:r>
        <w:rPr>
          <w:rFonts w:hint="eastAsia" w:ascii="仿宋_GB2312" w:eastAsia="仿宋_GB2312" w:hAnsiTheme="minorEastAsia"/>
          <w:sz w:val="28"/>
          <w:szCs w:val="28"/>
        </w:rPr>
        <w:t>、到货数量以我公司实际收到货数量为准；</w:t>
      </w:r>
      <w:r>
        <w:rPr>
          <w:rFonts w:hint="eastAsia" w:ascii="仿宋_GB2312" w:eastAsia="仿宋_GB2312" w:hAnsiTheme="minorEastAsia"/>
          <w:sz w:val="28"/>
          <w:szCs w:val="28"/>
          <w:lang w:val="en-US" w:eastAsia="zh-CN"/>
        </w:rPr>
        <w:t>3</w:t>
      </w:r>
      <w:r>
        <w:rPr>
          <w:rFonts w:hint="eastAsia" w:ascii="仿宋_GB2312" w:eastAsia="仿宋_GB2312" w:hAnsiTheme="minorEastAsia"/>
          <w:sz w:val="28"/>
          <w:szCs w:val="28"/>
        </w:rPr>
        <w:t>、供应商须按照我公司要求的时间及运输方式将货物送达指定区域的指定地点；装卸运输及相应费用由供应商负责，应符合国家相关规定。</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送货频次、数量不确定，由我公司依据实际生产需求确定，并以我公司实际通知为准；</w:t>
      </w:r>
    </w:p>
    <w:p>
      <w:pPr>
        <w:pStyle w:val="10"/>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参与此次询比价的供应商必须为中国境内注册并具有独立承担民事责任能力的工业气体经销厂家。</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供货商必须是增值税一般纳税人、具备危险化学品经营许可证，具备道路危险货物运输资质或与具备道路危险货物运输资质的第三方签订了运输协议，协议期限须长于本次价格执行期限。</w:t>
          </w:r>
        </w:sdtContent>
      </w:sdt>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0"/>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比价保证金金额：1万元</w:t>
      </w:r>
    </w:p>
    <w:p>
      <w:pPr>
        <w:pStyle w:val="10"/>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7FE0AE1A169A4D5A941897400A29DB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风帆有限责任公司，开户行：中国建设银行保定天威西路支行，账号：13050166560800000068</w:t>
          </w:r>
        </w:sdtContent>
      </w:sdt>
    </w:p>
    <w:p>
      <w:pPr>
        <w:pStyle w:val="10"/>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0"/>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927D6A1E2A1B4EEBACF30941282A8BB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w:t>
      </w:r>
    </w:p>
    <w:p>
      <w:pPr>
        <w:pStyle w:val="10"/>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开发部报名并提交相关资料；经准入审核合格的，纳入风帆公司供应商资源库，同时需在中国船舶电子商务平台进行注册，注册完成后，即可通过电子商务平台进行报价。</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0"/>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F196C9686E9E4EB28CA060B2FA148B3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营业执照、一般纳税人资质证明、质量保证能力等</w:t>
          </w:r>
        </w:sdtContent>
      </w:sdt>
      <w:r>
        <w:rPr>
          <w:rFonts w:hint="eastAsia" w:ascii="仿宋_GB2312" w:eastAsia="仿宋_GB2312" w:hAnsiTheme="minorEastAsia"/>
          <w:sz w:val="28"/>
          <w:szCs w:val="28"/>
        </w:rPr>
        <w:t>，以上证件需正本扫描后连同报价单一同压缩上传。</w:t>
      </w:r>
    </w:p>
    <w:p>
      <w:pPr>
        <w:pStyle w:val="10"/>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w:t>
      </w:r>
      <w:r>
        <w:rPr>
          <w:rFonts w:hint="eastAsia" w:ascii="仿宋_GB2312" w:eastAsia="仿宋_GB2312" w:hAnsiTheme="minorEastAsia"/>
          <w:sz w:val="28"/>
          <w:szCs w:val="28"/>
          <w:lang w:val="en-US" w:eastAsia="zh-CN"/>
        </w:rPr>
        <w:t>总价</w:t>
      </w:r>
      <w:r>
        <w:rPr>
          <w:rFonts w:hint="eastAsia" w:ascii="仿宋_GB2312" w:eastAsia="仿宋_GB2312" w:hAnsiTheme="minorEastAsia"/>
          <w:sz w:val="28"/>
          <w:szCs w:val="28"/>
        </w:rPr>
        <w:t>低价法；</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w:t>
      </w:r>
    </w:p>
    <w:p>
      <w:pPr>
        <w:pStyle w:val="10"/>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选定的供应商在接到正式通知后将比价保证金转化为履约保证金并在5个工作日内签订正式供货合同。</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0"/>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w:t>
          </w:r>
        </w:sdtContent>
      </w:sdt>
      <w:r>
        <w:rPr>
          <w:rFonts w:hint="eastAsia" w:ascii="仿宋_GB2312" w:eastAsia="仿宋_GB2312" w:hAnsiTheme="minorEastAsia"/>
          <w:sz w:val="28"/>
          <w:szCs w:val="28"/>
        </w:rPr>
        <w:t>日前，供应商需将货物验收单连同增值税专用发票一并交至采购单位。</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付款方式为：挂账后3个月内支付电汇或电子承兑。</w:t>
      </w:r>
    </w:p>
    <w:p>
      <w:pPr>
        <w:pStyle w:val="10"/>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平台事务联系人：郭士伦      电话：0312-3208493</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商 务 联 系人：  彭晓乐    电话：0312-3208356</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供应商报名联系人：李秋实    电话：0312-3208348</w:t>
      </w:r>
    </w:p>
    <w:p>
      <w:pPr>
        <w:pStyle w:val="10"/>
        <w:spacing w:line="560" w:lineRule="exact"/>
        <w:ind w:left="720" w:right="840" w:firstLine="3360" w:firstLineChars="1200"/>
        <w:rPr>
          <w:rFonts w:ascii="仿宋_GB2312" w:eastAsia="仿宋_GB2312" w:hAnsiTheme="minorEastAsia"/>
          <w:sz w:val="28"/>
          <w:szCs w:val="28"/>
        </w:rPr>
      </w:pPr>
    </w:p>
    <w:p>
      <w:pPr>
        <w:pStyle w:val="10"/>
        <w:spacing w:line="560" w:lineRule="exact"/>
        <w:ind w:left="720" w:right="840" w:firstLine="3920" w:firstLineChars="14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2022年4月11日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5"/>
        <w:tblW w:w="1375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596"/>
        <w:gridCol w:w="1417"/>
        <w:gridCol w:w="1531"/>
        <w:gridCol w:w="1276"/>
        <w:gridCol w:w="709"/>
        <w:gridCol w:w="1275"/>
        <w:gridCol w:w="1276"/>
        <w:gridCol w:w="184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552" w:type="dxa"/>
            <w:tcBorders>
              <w:top w:val="nil"/>
              <w:left w:val="nil"/>
              <w:bottom w:val="nil"/>
              <w:right w:val="nil"/>
            </w:tcBorders>
            <w:shd w:val="clear" w:color="auto" w:fill="F1F1F1" w:themeFill="background1" w:themeFillShade="F2"/>
          </w:tcPr>
          <w:p>
            <w:pPr>
              <w:adjustRightInd w:val="0"/>
              <w:snapToGrid w:val="0"/>
              <w:jc w:val="left"/>
              <w:rPr>
                <w:rFonts w:ascii="黑体" w:hAnsi="黑体" w:eastAsia="黑体"/>
                <w:szCs w:val="21"/>
              </w:rPr>
            </w:pPr>
          </w:p>
        </w:tc>
        <w:tc>
          <w:tcPr>
            <w:tcW w:w="9923" w:type="dxa"/>
            <w:gridSpan w:val="8"/>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c>
          <w:tcPr>
            <w:tcW w:w="1276" w:type="dxa"/>
            <w:tcBorders>
              <w:top w:val="nil"/>
              <w:left w:val="nil"/>
              <w:bottom w:val="nil"/>
              <w:right w:val="nil"/>
            </w:tcBorders>
            <w:shd w:val="clear" w:color="auto" w:fill="F1F1F1" w:themeFill="background1" w:themeFillShade="F2"/>
          </w:tcPr>
          <w:p>
            <w:pPr>
              <w:adjustRightInd w:val="0"/>
              <w:snapToGrid w:val="0"/>
              <w:jc w:val="left"/>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096"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1985" w:type="dxa"/>
            <w:gridSpan w:val="2"/>
            <w:tcBorders>
              <w:top w:val="nil"/>
              <w:left w:val="nil"/>
              <w:bottom w:val="single" w:color="auto" w:sz="12" w:space="0"/>
              <w:right w:val="nil"/>
            </w:tcBorders>
            <w:shd w:val="clear" w:color="auto" w:fill="F1F1F1" w:themeFill="background1" w:themeFillShade="F2"/>
          </w:tcPr>
          <w:p>
            <w:pPr>
              <w:adjustRightInd w:val="0"/>
              <w:snapToGrid w:val="0"/>
              <w:jc w:val="left"/>
              <w:rPr>
                <w:rFonts w:ascii="黑体" w:hAnsi="黑体" w:eastAsia="黑体"/>
                <w:szCs w:val="21"/>
              </w:rPr>
            </w:pPr>
          </w:p>
        </w:tc>
        <w:tc>
          <w:tcPr>
            <w:tcW w:w="4394"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c>
          <w:tcPr>
            <w:tcW w:w="1276" w:type="dxa"/>
            <w:tcBorders>
              <w:top w:val="nil"/>
              <w:left w:val="nil"/>
              <w:bottom w:val="single" w:color="auto" w:sz="12" w:space="0"/>
              <w:right w:val="nil"/>
            </w:tcBorders>
            <w:shd w:val="clear" w:color="auto" w:fill="F1F1F1" w:themeFill="background1" w:themeFillShade="F2"/>
          </w:tcPr>
          <w:p>
            <w:pPr>
              <w:adjustRightInd w:val="0"/>
              <w:snapToGrid w:val="0"/>
              <w:jc w:val="left"/>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gridSpan w:val="2"/>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标准压力</w:t>
            </w:r>
          </w:p>
        </w:tc>
        <w:tc>
          <w:tcPr>
            <w:tcW w:w="1531"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127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1984" w:type="dxa"/>
            <w:gridSpan w:val="2"/>
            <w:tcBorders>
              <w:top w:val="single" w:color="auto" w:sz="12" w:space="0"/>
            </w:tcBorders>
            <w:shd w:val="clear" w:color="auto" w:fill="D8D8D8" w:themeFill="background1" w:themeFillShade="D9"/>
          </w:tcPr>
          <w:p>
            <w:pPr>
              <w:adjustRightInd w:val="0"/>
              <w:snapToGrid w:val="0"/>
              <w:jc w:val="center"/>
              <w:rPr>
                <w:rFonts w:ascii="黑体" w:hAnsi="黑体" w:eastAsia="黑体"/>
                <w:szCs w:val="21"/>
              </w:rPr>
            </w:pPr>
            <w:r>
              <w:rPr>
                <w:rFonts w:hint="eastAsia" w:ascii="黑体" w:hAnsi="黑体" w:eastAsia="黑体"/>
                <w:szCs w:val="21"/>
              </w:rPr>
              <w:t xml:space="preserve">                      单位</w:t>
            </w:r>
          </w:p>
        </w:tc>
        <w:tc>
          <w:tcPr>
            <w:tcW w:w="127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含13%增值税到厂单价;元</w:t>
            </w:r>
          </w:p>
          <w:p>
            <w:pPr>
              <w:adjustRightInd w:val="0"/>
              <w:snapToGrid w:val="0"/>
              <w:rPr>
                <w:rFonts w:ascii="黑体" w:hAnsi="黑体" w:eastAsia="黑体"/>
                <w:szCs w:val="21"/>
              </w:rPr>
            </w:pPr>
          </w:p>
        </w:tc>
        <w:tc>
          <w:tcPr>
            <w:tcW w:w="1843" w:type="dxa"/>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c>
          <w:tcPr>
            <w:tcW w:w="1276" w:type="dxa"/>
            <w:tcBorders>
              <w:top w:val="single" w:color="auto" w:sz="12" w:space="0"/>
              <w:right w:val="single" w:color="auto" w:sz="12" w:space="0"/>
            </w:tcBorders>
            <w:shd w:val="clear" w:color="auto" w:fill="D8D8D8" w:themeFill="background1" w:themeFillShade="D9"/>
          </w:tcPr>
          <w:p>
            <w:pPr>
              <w:adjustRightInd w:val="0"/>
              <w:snapToGrid w:val="0"/>
              <w:jc w:val="center"/>
              <w:rPr>
                <w:rFonts w:ascii="黑体" w:hAnsi="黑体" w:eastAsia="黑体"/>
                <w:szCs w:val="21"/>
              </w:rPr>
            </w:pPr>
            <w:r>
              <w:rPr>
                <w:rFonts w:hint="eastAsia" w:ascii="黑体" w:hAnsi="黑体" w:eastAsia="黑体"/>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ind w:firstLine="1050" w:firstLineChars="500"/>
              <w:rPr>
                <w:rFonts w:ascii="黑体" w:hAnsi="黑体" w:eastAsia="黑体"/>
                <w:szCs w:val="21"/>
              </w:rPr>
            </w:pPr>
            <w:r>
              <w:rPr>
                <w:rFonts w:hint="eastAsia" w:ascii="黑体" w:hAnsi="黑体" w:eastAsia="黑体"/>
                <w:szCs w:val="21"/>
              </w:rPr>
              <w:t>液氮</w:t>
            </w:r>
          </w:p>
        </w:tc>
        <w:sdt>
          <w:sdtPr>
            <w:rPr>
              <w:rFonts w:ascii="黑体" w:hAnsi="黑体" w:eastAsia="黑体"/>
              <w:szCs w:val="21"/>
            </w:rPr>
            <w:id w:val="-122080947"/>
            <w:placeholder>
              <w:docPart w:val="FC8C3F55757042D38D56CA72FE9C790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w:t>
                </w:r>
              </w:p>
            </w:tc>
          </w:sdtContent>
        </w:sdt>
        <w:tc>
          <w:tcPr>
            <w:tcW w:w="1531"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10升</w:t>
            </w:r>
          </w:p>
        </w:tc>
        <w:tc>
          <w:tcPr>
            <w:tcW w:w="1276"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10</w:t>
            </w:r>
          </w:p>
        </w:tc>
        <w:tc>
          <w:tcPr>
            <w:tcW w:w="1984" w:type="dxa"/>
            <w:gridSpan w:val="2"/>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升</w:t>
            </w:r>
          </w:p>
        </w:tc>
        <w:tc>
          <w:tcPr>
            <w:tcW w:w="1276"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843"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276" w:type="dxa"/>
            <w:vMerge w:val="restart"/>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实际数量以订单为准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ind w:firstLine="1050" w:firstLineChars="500"/>
              <w:rPr>
                <w:rFonts w:ascii="黑体" w:hAnsi="黑体" w:eastAsia="黑体"/>
                <w:szCs w:val="21"/>
              </w:rPr>
            </w:pPr>
            <w:r>
              <w:rPr>
                <w:rFonts w:hint="eastAsia" w:ascii="黑体" w:hAnsi="黑体" w:eastAsia="黑体"/>
                <w:szCs w:val="21"/>
              </w:rPr>
              <w:t>氧气</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10-11MPa</w:t>
            </w:r>
          </w:p>
        </w:tc>
        <w:tc>
          <w:tcPr>
            <w:tcW w:w="1531"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40L/瓶</w:t>
            </w:r>
          </w:p>
        </w:tc>
        <w:tc>
          <w:tcPr>
            <w:tcW w:w="1276"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270</w:t>
            </w:r>
          </w:p>
        </w:tc>
        <w:tc>
          <w:tcPr>
            <w:tcW w:w="1984" w:type="dxa"/>
            <w:gridSpan w:val="2"/>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瓶</w:t>
            </w:r>
          </w:p>
        </w:tc>
        <w:tc>
          <w:tcPr>
            <w:tcW w:w="1276"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843"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276" w:type="dxa"/>
            <w:vMerge w:val="continue"/>
            <w:shd w:val="clear" w:color="auto" w:fill="F1F1F1" w:themeFill="background1" w:themeFillShade="F2"/>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ascii="黑体" w:hAnsi="黑体" w:eastAsia="黑体"/>
                <w:szCs w:val="21"/>
              </w:rPr>
              <w:t>乙炔气</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1.5-1.6MPa</w:t>
            </w:r>
          </w:p>
        </w:tc>
        <w:tc>
          <w:tcPr>
            <w:tcW w:w="1531"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40L/瓶</w:t>
            </w:r>
          </w:p>
        </w:tc>
        <w:tc>
          <w:tcPr>
            <w:tcW w:w="1276"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1100</w:t>
            </w:r>
          </w:p>
        </w:tc>
        <w:tc>
          <w:tcPr>
            <w:tcW w:w="1984" w:type="dxa"/>
            <w:gridSpan w:val="2"/>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瓶</w:t>
            </w:r>
          </w:p>
        </w:tc>
        <w:tc>
          <w:tcPr>
            <w:tcW w:w="1276"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843"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276" w:type="dxa"/>
            <w:vMerge w:val="continue"/>
            <w:shd w:val="clear" w:color="auto" w:fill="F1F1F1" w:themeFill="background1" w:themeFillShade="F2"/>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ascii="黑体" w:hAnsi="黑体" w:eastAsia="黑体"/>
                <w:szCs w:val="21"/>
              </w:rPr>
              <w:t>氩气</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13-15MPa</w:t>
            </w:r>
          </w:p>
        </w:tc>
        <w:tc>
          <w:tcPr>
            <w:tcW w:w="1531"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40L/瓶</w:t>
            </w:r>
          </w:p>
        </w:tc>
        <w:tc>
          <w:tcPr>
            <w:tcW w:w="1276"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4</w:t>
            </w:r>
          </w:p>
        </w:tc>
        <w:tc>
          <w:tcPr>
            <w:tcW w:w="1984" w:type="dxa"/>
            <w:gridSpan w:val="2"/>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瓶</w:t>
            </w:r>
          </w:p>
        </w:tc>
        <w:tc>
          <w:tcPr>
            <w:tcW w:w="1276"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843"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276" w:type="dxa"/>
            <w:vMerge w:val="continue"/>
            <w:shd w:val="clear" w:color="auto" w:fill="F1F1F1" w:themeFill="background1" w:themeFillShade="F2"/>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ascii="黑体" w:hAnsi="黑体" w:eastAsia="黑体"/>
                <w:szCs w:val="21"/>
              </w:rPr>
              <w:t>氮气</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13-15MPa</w:t>
            </w:r>
          </w:p>
        </w:tc>
        <w:tc>
          <w:tcPr>
            <w:tcW w:w="1531"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40L/瓶</w:t>
            </w:r>
          </w:p>
        </w:tc>
        <w:tc>
          <w:tcPr>
            <w:tcW w:w="1276"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30</w:t>
            </w:r>
          </w:p>
        </w:tc>
        <w:tc>
          <w:tcPr>
            <w:tcW w:w="1984" w:type="dxa"/>
            <w:gridSpan w:val="2"/>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瓶</w:t>
            </w:r>
          </w:p>
        </w:tc>
        <w:tc>
          <w:tcPr>
            <w:tcW w:w="1276"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843"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276" w:type="dxa"/>
            <w:vMerge w:val="continue"/>
            <w:shd w:val="clear" w:color="auto" w:fill="F1F1F1" w:themeFill="background1" w:themeFillShade="F2"/>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ascii="黑体" w:hAnsi="黑体" w:eastAsia="黑体"/>
                <w:szCs w:val="21"/>
              </w:rPr>
              <w:t>高纯氩气</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13-15MPa</w:t>
            </w:r>
          </w:p>
        </w:tc>
        <w:tc>
          <w:tcPr>
            <w:tcW w:w="1531"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40L/瓶</w:t>
            </w:r>
          </w:p>
        </w:tc>
        <w:tc>
          <w:tcPr>
            <w:tcW w:w="1276"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320</w:t>
            </w:r>
          </w:p>
        </w:tc>
        <w:tc>
          <w:tcPr>
            <w:tcW w:w="1984" w:type="dxa"/>
            <w:gridSpan w:val="2"/>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瓶</w:t>
            </w:r>
          </w:p>
        </w:tc>
        <w:tc>
          <w:tcPr>
            <w:tcW w:w="1276"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843"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276" w:type="dxa"/>
            <w:vMerge w:val="continue"/>
            <w:shd w:val="clear" w:color="auto" w:fill="F1F1F1" w:themeFill="background1" w:themeFillShade="F2"/>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ascii="黑体" w:hAnsi="黑体" w:eastAsia="黑体"/>
                <w:szCs w:val="21"/>
              </w:rPr>
              <w:t>高纯氦气</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13MPa</w:t>
            </w:r>
          </w:p>
        </w:tc>
        <w:tc>
          <w:tcPr>
            <w:tcW w:w="1531"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40L/瓶</w:t>
            </w:r>
          </w:p>
        </w:tc>
        <w:tc>
          <w:tcPr>
            <w:tcW w:w="1276"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4</w:t>
            </w:r>
          </w:p>
        </w:tc>
        <w:tc>
          <w:tcPr>
            <w:tcW w:w="1984" w:type="dxa"/>
            <w:gridSpan w:val="2"/>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瓶</w:t>
            </w:r>
          </w:p>
        </w:tc>
        <w:tc>
          <w:tcPr>
            <w:tcW w:w="1276"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843"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276" w:type="dxa"/>
            <w:vMerge w:val="continue"/>
            <w:shd w:val="clear" w:color="auto" w:fill="F1F1F1" w:themeFill="background1" w:themeFillShade="F2"/>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ascii="黑体" w:hAnsi="黑体" w:eastAsia="黑体"/>
                <w:szCs w:val="21"/>
              </w:rPr>
              <w:t>高纯乙炔</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2MPa</w:t>
            </w:r>
          </w:p>
        </w:tc>
        <w:tc>
          <w:tcPr>
            <w:tcW w:w="1531"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38.6L/瓶</w:t>
            </w:r>
          </w:p>
        </w:tc>
        <w:tc>
          <w:tcPr>
            <w:tcW w:w="1276"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4</w:t>
            </w:r>
          </w:p>
        </w:tc>
        <w:tc>
          <w:tcPr>
            <w:tcW w:w="1984" w:type="dxa"/>
            <w:gridSpan w:val="2"/>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瓶</w:t>
            </w:r>
          </w:p>
        </w:tc>
        <w:tc>
          <w:tcPr>
            <w:tcW w:w="1276"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843"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276" w:type="dxa"/>
            <w:vMerge w:val="continue"/>
            <w:shd w:val="clear" w:color="auto" w:fill="F1F1F1" w:themeFill="background1" w:themeFillShade="F2"/>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ascii="黑体" w:hAnsi="黑体" w:eastAsia="黑体"/>
                <w:szCs w:val="21"/>
              </w:rPr>
              <w:t>二氧化碳</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0.5-1MPa</w:t>
            </w:r>
          </w:p>
        </w:tc>
        <w:tc>
          <w:tcPr>
            <w:tcW w:w="1531"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40L/瓶</w:t>
            </w:r>
          </w:p>
        </w:tc>
        <w:tc>
          <w:tcPr>
            <w:tcW w:w="1276"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30</w:t>
            </w:r>
          </w:p>
        </w:tc>
        <w:tc>
          <w:tcPr>
            <w:tcW w:w="1984" w:type="dxa"/>
            <w:gridSpan w:val="2"/>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瓶</w:t>
            </w:r>
          </w:p>
        </w:tc>
        <w:tc>
          <w:tcPr>
            <w:tcW w:w="1276"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843"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276" w:type="dxa"/>
            <w:vMerge w:val="continue"/>
            <w:shd w:val="clear" w:color="auto" w:fill="F1F1F1" w:themeFill="background1" w:themeFillShade="F2"/>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ascii="黑体" w:hAnsi="黑体" w:eastAsia="黑体"/>
                <w:szCs w:val="21"/>
              </w:rPr>
              <w:t>液氧</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1.6MPa</w:t>
            </w:r>
          </w:p>
        </w:tc>
        <w:tc>
          <w:tcPr>
            <w:tcW w:w="1531"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w:t>
            </w:r>
          </w:p>
        </w:tc>
        <w:tc>
          <w:tcPr>
            <w:tcW w:w="1276"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530000</w:t>
            </w:r>
          </w:p>
        </w:tc>
        <w:tc>
          <w:tcPr>
            <w:tcW w:w="1984" w:type="dxa"/>
            <w:gridSpan w:val="2"/>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公斤</w:t>
            </w:r>
          </w:p>
        </w:tc>
        <w:tc>
          <w:tcPr>
            <w:tcW w:w="1276"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843"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276" w:type="dxa"/>
            <w:vMerge w:val="continue"/>
            <w:shd w:val="clear" w:color="auto" w:fill="F1F1F1" w:themeFill="background1" w:themeFillShade="F2"/>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总价合计：（单位：人民币元）</w:t>
            </w:r>
          </w:p>
        </w:tc>
        <w:tc>
          <w:tcPr>
            <w:tcW w:w="9327" w:type="dxa"/>
            <w:gridSpan w:val="7"/>
            <w:tcBorders>
              <w:right w:val="single" w:color="auto" w:sz="12" w:space="0"/>
            </w:tcBorders>
            <w:shd w:val="clear" w:color="auto" w:fill="D8D8D8" w:themeFill="background1" w:themeFillShade="D9"/>
            <w:vAlign w:val="center"/>
          </w:tcPr>
          <w:p>
            <w:pPr>
              <w:adjustRightInd w:val="0"/>
              <w:snapToGrid w:val="0"/>
              <w:jc w:val="center"/>
              <w:rPr>
                <w:rFonts w:ascii="Times New Roman" w:hAnsi="Times New Roman" w:eastAsia="黑体" w:cs="Times New Roman"/>
                <w:szCs w:val="21"/>
              </w:rPr>
            </w:pPr>
          </w:p>
        </w:tc>
        <w:tc>
          <w:tcPr>
            <w:tcW w:w="1276" w:type="dxa"/>
            <w:shd w:val="clear" w:color="auto" w:fill="F1F1F1" w:themeFill="background1" w:themeFillShade="F2"/>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3"/>
          <w:jc w:val="center"/>
        </w:pPr>
        <w:r>
          <w:fldChar w:fldCharType="begin"/>
        </w:r>
        <w:r>
          <w:instrText xml:space="preserve">PAGE   \* MERGEFORMAT</w:instrText>
        </w:r>
        <w:r>
          <w:fldChar w:fldCharType="separate"/>
        </w:r>
        <w:r>
          <w:rPr>
            <w:lang w:val="zh-CN"/>
          </w:rPr>
          <w:t>5</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17D2C"/>
    <w:rsid w:val="000A1BCF"/>
    <w:rsid w:val="000A3334"/>
    <w:rsid w:val="001367C4"/>
    <w:rsid w:val="002120C8"/>
    <w:rsid w:val="002143B2"/>
    <w:rsid w:val="002613E4"/>
    <w:rsid w:val="00271A65"/>
    <w:rsid w:val="00284449"/>
    <w:rsid w:val="003027AA"/>
    <w:rsid w:val="00315B4D"/>
    <w:rsid w:val="003953F0"/>
    <w:rsid w:val="003C1834"/>
    <w:rsid w:val="003D3F66"/>
    <w:rsid w:val="004223B8"/>
    <w:rsid w:val="00436209"/>
    <w:rsid w:val="00463FFD"/>
    <w:rsid w:val="004978DE"/>
    <w:rsid w:val="004E7883"/>
    <w:rsid w:val="0052755D"/>
    <w:rsid w:val="005344EF"/>
    <w:rsid w:val="00554E02"/>
    <w:rsid w:val="00577D31"/>
    <w:rsid w:val="005C067D"/>
    <w:rsid w:val="0064010C"/>
    <w:rsid w:val="00664B95"/>
    <w:rsid w:val="00676230"/>
    <w:rsid w:val="006B499A"/>
    <w:rsid w:val="007129EE"/>
    <w:rsid w:val="00715462"/>
    <w:rsid w:val="00751DF4"/>
    <w:rsid w:val="007D6F6A"/>
    <w:rsid w:val="007F6B7C"/>
    <w:rsid w:val="008519E8"/>
    <w:rsid w:val="0089384F"/>
    <w:rsid w:val="008E3983"/>
    <w:rsid w:val="008F1125"/>
    <w:rsid w:val="00932592"/>
    <w:rsid w:val="00A10107"/>
    <w:rsid w:val="00A2503F"/>
    <w:rsid w:val="00AA0A97"/>
    <w:rsid w:val="00AA1FC4"/>
    <w:rsid w:val="00AC4109"/>
    <w:rsid w:val="00AC64FA"/>
    <w:rsid w:val="00AD3B7C"/>
    <w:rsid w:val="00AD79D4"/>
    <w:rsid w:val="00B5537D"/>
    <w:rsid w:val="00B7103A"/>
    <w:rsid w:val="00B932D3"/>
    <w:rsid w:val="00BB3C20"/>
    <w:rsid w:val="00BB430F"/>
    <w:rsid w:val="00C0725D"/>
    <w:rsid w:val="00D27572"/>
    <w:rsid w:val="00D2771B"/>
    <w:rsid w:val="00D32532"/>
    <w:rsid w:val="00D74882"/>
    <w:rsid w:val="00D80D60"/>
    <w:rsid w:val="00DE7BF8"/>
    <w:rsid w:val="00E20559"/>
    <w:rsid w:val="00F10558"/>
    <w:rsid w:val="00F228ED"/>
    <w:rsid w:val="00FB43C2"/>
    <w:rsid w:val="1A4A40FA"/>
    <w:rsid w:val="3522774E"/>
    <w:rsid w:val="3FC01E9B"/>
    <w:rsid w:val="4A016513"/>
    <w:rsid w:val="4E8C1210"/>
    <w:rsid w:val="59722E3E"/>
    <w:rsid w:val="5D445D4F"/>
    <w:rsid w:val="64B1764E"/>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 w:type="character" w:styleId="12">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7FE0AE1A169A4D5A941897400A29DBB1"/>
        <w:style w:val=""/>
        <w:category>
          <w:name w:val="常规"/>
          <w:gallery w:val="placeholder"/>
        </w:category>
        <w:types>
          <w:type w:val="bbPlcHdr"/>
        </w:types>
        <w:behaviors>
          <w:behavior w:val="content"/>
        </w:behaviors>
        <w:description w:val=""/>
        <w:guid w:val="{670AB115-7253-4E75-B671-AE35C5827DA1}"/>
      </w:docPartPr>
      <w:docPartBody>
        <w:p>
          <w:pPr>
            <w:pStyle w:val="15"/>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927D6A1E2A1B4EEBACF30941282A8BBF"/>
        <w:style w:val=""/>
        <w:category>
          <w:name w:val="常规"/>
          <w:gallery w:val="placeholder"/>
        </w:category>
        <w:types>
          <w:type w:val="bbPlcHdr"/>
        </w:types>
        <w:behaviors>
          <w:behavior w:val="content"/>
        </w:behaviors>
        <w:description w:val=""/>
        <w:guid w:val="{0A842600-F625-436C-A536-1C67C56054EA}"/>
      </w:docPartPr>
      <w:docPartBody>
        <w:p>
          <w:pPr>
            <w:pStyle w:val="16"/>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FC8C3F55757042D38D56CA72FE9C7905"/>
        <w:style w:val=""/>
        <w:category>
          <w:name w:val="常规"/>
          <w:gallery w:val="placeholder"/>
        </w:category>
        <w:types>
          <w:type w:val="bbPlcHdr"/>
        </w:types>
        <w:behaviors>
          <w:behavior w:val="content"/>
        </w:behaviors>
        <w:description w:val=""/>
        <w:guid w:val="{031978B4-91DB-44BE-946D-E9FAB88634A4}"/>
      </w:docPartPr>
      <w:docPartBody>
        <w:p>
          <w:pPr>
            <w:pStyle w:val="32"/>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1C5165"/>
    <w:rsid w:val="00370581"/>
    <w:rsid w:val="003F65F9"/>
    <w:rsid w:val="00563915"/>
    <w:rsid w:val="005721EC"/>
    <w:rsid w:val="00656500"/>
    <w:rsid w:val="00687415"/>
    <w:rsid w:val="007C7F21"/>
    <w:rsid w:val="00832BE4"/>
    <w:rsid w:val="008A4170"/>
    <w:rsid w:val="00965BDD"/>
    <w:rsid w:val="009C574B"/>
    <w:rsid w:val="00AC68C1"/>
    <w:rsid w:val="00B57C7A"/>
    <w:rsid w:val="00C26421"/>
    <w:rsid w:val="00D05738"/>
    <w:rsid w:val="00D103B5"/>
    <w:rsid w:val="00D65536"/>
    <w:rsid w:val="00DC2C14"/>
    <w:rsid w:val="00DE4938"/>
    <w:rsid w:val="00E0722F"/>
    <w:rsid w:val="00E90240"/>
    <w:rsid w:val="00EC2267"/>
    <w:rsid w:val="00F5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14D0DDA3458244C3B7854F264DD82B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D0D0EB5ACD3042B68E1907DD09D8B69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04DC26FFD42E4941A1A31F6B4774228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FC8C3F55757042D38D56CA72FE9C790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2106</Words>
  <Characters>2305</Characters>
  <Lines>18</Lines>
  <Paragraphs>5</Paragraphs>
  <TotalTime>81</TotalTime>
  <ScaleCrop>false</ScaleCrop>
  <LinksUpToDate>false</LinksUpToDate>
  <CharactersWithSpaces>2373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2021-12-09T06:54:00Z</dcterms:created>
  <dc:creator>刘文利</dc:creator>
  <cp:lastModifiedBy>郭士伦</cp:lastModifiedBy>
  <dcterms:modified xsi:type="dcterms:W3CDTF">2022-04-12T08:02:32Z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D7BA17C4788746F19F1B7720BC070807</vt:lpwstr>
  </property>
</Properties>
</file>